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行政联盟供应商入驻审核规范</w:t>
      </w:r>
    </w:p>
    <w:p>
      <w:pPr>
        <w:pStyle w:val="5"/>
        <w:spacing w:line="300" w:lineRule="auto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目的</w:t>
      </w:r>
    </w:p>
    <w:p>
      <w:pPr>
        <w:pStyle w:val="6"/>
        <w:spacing w:line="331" w:lineRule="auto"/>
        <w:ind w:firstLine="440"/>
        <w:rPr>
          <w:rFonts w:hint="eastAsia"/>
        </w:rPr>
      </w:pPr>
      <w:r>
        <w:rPr>
          <w:rFonts w:hint="eastAsia"/>
        </w:rPr>
        <w:t>为了规范和统一</w:t>
      </w:r>
      <w:r>
        <w:rPr>
          <w:rFonts w:hint="eastAsia"/>
          <w:lang w:eastAsia="zh-CN"/>
        </w:rPr>
        <w:t>行政联盟</w:t>
      </w:r>
      <w:r>
        <w:rPr>
          <w:rFonts w:hint="eastAsia"/>
        </w:rPr>
        <w:t>供应商</w:t>
      </w:r>
      <w:r>
        <w:rPr>
          <w:rFonts w:hint="eastAsia"/>
          <w:lang w:eastAsia="zh-CN"/>
        </w:rPr>
        <w:t>引入</w:t>
      </w:r>
      <w:r>
        <w:rPr>
          <w:rFonts w:hint="eastAsia"/>
        </w:rPr>
        <w:t>的过程，选择有竞争力的供应商</w:t>
      </w:r>
      <w:r>
        <w:rPr>
          <w:rFonts w:hint="eastAsia"/>
          <w:lang w:eastAsia="zh-CN"/>
        </w:rPr>
        <w:t>为</w:t>
      </w:r>
      <w:r>
        <w:rPr>
          <w:rFonts w:hint="eastAsia"/>
          <w:lang w:val="en-US" w:eastAsia="zh-CN"/>
        </w:rPr>
        <w:t>企业</w:t>
      </w:r>
      <w:r>
        <w:rPr>
          <w:rFonts w:hint="eastAsia"/>
          <w:lang w:eastAsia="zh-CN"/>
        </w:rPr>
        <w:t>客户</w:t>
      </w:r>
      <w:r>
        <w:rPr>
          <w:rFonts w:hint="eastAsia"/>
        </w:rPr>
        <w:t>提供质量有保证的稳定的</w:t>
      </w:r>
      <w:r>
        <w:rPr>
          <w:rFonts w:hint="eastAsia"/>
          <w:lang w:eastAsia="zh-CN"/>
        </w:rPr>
        <w:t>服务</w:t>
      </w:r>
      <w:r>
        <w:rPr>
          <w:rFonts w:hint="eastAsia"/>
        </w:rPr>
        <w:t>，并对供应商进行有效的管理，从而保障</w:t>
      </w:r>
      <w:r>
        <w:rPr>
          <w:rFonts w:hint="eastAsia"/>
          <w:lang w:eastAsia="zh-CN"/>
        </w:rPr>
        <w:t>平台</w:t>
      </w:r>
      <w:r>
        <w:rPr>
          <w:rFonts w:hint="eastAsia"/>
        </w:rPr>
        <w:t>日常管理的正常运行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同时进一步</w:t>
      </w:r>
      <w:r>
        <w:rPr>
          <w:rFonts w:hint="eastAsia"/>
          <w:lang w:eastAsia="zh-CN"/>
        </w:rPr>
        <w:t>提高平台服务质量</w:t>
      </w:r>
      <w:r>
        <w:rPr>
          <w:rFonts w:hint="eastAsia"/>
        </w:rPr>
        <w:t>，特制定本标准。</w:t>
      </w:r>
    </w:p>
    <w:p>
      <w:pPr>
        <w:pStyle w:val="5"/>
        <w:spacing w:line="300" w:lineRule="auto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概述</w:t>
      </w:r>
    </w:p>
    <w:p>
      <w:pPr>
        <w:pStyle w:val="6"/>
        <w:spacing w:line="331" w:lineRule="auto"/>
      </w:pPr>
      <w:r>
        <w:t xml:space="preserve">    </w:t>
      </w:r>
      <w:r>
        <w:rPr>
          <w:rFonts w:hint="eastAsia"/>
        </w:rPr>
        <w:t>本标准规定了</w:t>
      </w:r>
      <w:r>
        <w:rPr>
          <w:rFonts w:hint="eastAsia"/>
          <w:lang w:eastAsia="zh-CN"/>
        </w:rPr>
        <w:t>行政联盟</w:t>
      </w:r>
      <w:r>
        <w:rPr>
          <w:rFonts w:hint="eastAsia"/>
        </w:rPr>
        <w:t>供应商</w:t>
      </w:r>
      <w:r>
        <w:rPr>
          <w:rFonts w:hint="eastAsia"/>
          <w:lang w:eastAsia="zh-CN"/>
        </w:rPr>
        <w:t>引入标准</w:t>
      </w:r>
      <w:r>
        <w:rPr>
          <w:rFonts w:hint="eastAsia"/>
        </w:rPr>
        <w:t>及管理规范。</w:t>
      </w:r>
    </w:p>
    <w:p>
      <w:pPr>
        <w:pStyle w:val="6"/>
        <w:spacing w:line="331" w:lineRule="auto"/>
        <w:ind w:firstLine="440"/>
        <w:rPr>
          <w:rFonts w:hint="eastAsia"/>
        </w:rPr>
      </w:pPr>
      <w:r>
        <w:rPr>
          <w:rFonts w:hint="eastAsia"/>
        </w:rPr>
        <w:t>本标准适用于</w:t>
      </w:r>
      <w:r>
        <w:rPr>
          <w:rFonts w:hint="eastAsia"/>
          <w:lang w:eastAsia="zh-CN"/>
        </w:rPr>
        <w:t>平台运营</w:t>
      </w:r>
      <w:r>
        <w:rPr>
          <w:rFonts w:hint="eastAsia"/>
        </w:rPr>
        <w:t>范围内的</w:t>
      </w:r>
      <w:r>
        <w:rPr>
          <w:rFonts w:hint="eastAsia"/>
          <w:lang w:eastAsia="zh-CN"/>
        </w:rPr>
        <w:t>全品类</w:t>
      </w:r>
      <w:r>
        <w:rPr>
          <w:rFonts w:hint="eastAsia"/>
        </w:rPr>
        <w:t>的供应商寻源、资质评审、现场考察等认证过程以及供应商管理。</w:t>
      </w:r>
    </w:p>
    <w:p>
      <w:pPr>
        <w:pStyle w:val="5"/>
        <w:spacing w:line="300" w:lineRule="auto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要求</w:t>
      </w:r>
    </w:p>
    <w:p>
      <w:pPr>
        <w:pStyle w:val="6"/>
        <w:spacing w:line="331" w:lineRule="auto"/>
      </w:pPr>
      <w:r>
        <w:t xml:space="preserve">    </w:t>
      </w:r>
      <w:r>
        <w:rPr>
          <w:rFonts w:hint="eastAsia"/>
        </w:rPr>
        <w:t>与</w:t>
      </w:r>
      <w:r>
        <w:rPr>
          <w:rFonts w:hint="eastAsia"/>
          <w:lang w:eastAsia="zh-CN"/>
        </w:rPr>
        <w:t>行政联盟</w:t>
      </w:r>
      <w:r>
        <w:rPr>
          <w:rFonts w:hint="eastAsia"/>
        </w:rPr>
        <w:t>进行合作的供应商，均应按照本</w:t>
      </w:r>
      <w:r>
        <w:rPr>
          <w:rFonts w:hint="eastAsia"/>
          <w:lang w:eastAsia="zh-CN"/>
        </w:rPr>
        <w:t>标准引入</w:t>
      </w:r>
      <w:r>
        <w:rPr>
          <w:rFonts w:hint="eastAsia"/>
        </w:rPr>
        <w:t>，</w:t>
      </w:r>
      <w:r>
        <w:rPr>
          <w:rFonts w:hint="eastAsia"/>
          <w:lang w:eastAsia="zh-CN"/>
        </w:rPr>
        <w:t>审核</w:t>
      </w:r>
      <w:r>
        <w:rPr>
          <w:rFonts w:hint="eastAsia"/>
        </w:rPr>
        <w:t>通过后才可以开展合作。</w:t>
      </w:r>
    </w:p>
    <w:p>
      <w:pPr>
        <w:pStyle w:val="5"/>
        <w:spacing w:line="30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四、供应商引入策略</w:t>
      </w:r>
    </w:p>
    <w:p>
      <w:pPr>
        <w:pStyle w:val="6"/>
        <w:spacing w:line="331" w:lineRule="auto"/>
        <w:ind w:firstLine="4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行政联盟各业务模块供应商按高中低三档分级，每档至少引入三家，实现单品类“3X3”的全业务面覆盖能力；特殊业务供应商可申请绿色通道直接引入。</w:t>
      </w:r>
    </w:p>
    <w:p>
      <w:pPr>
        <w:pStyle w:val="6"/>
        <w:numPr>
          <w:ilvl w:val="0"/>
          <w:numId w:val="1"/>
        </w:numPr>
        <w:spacing w:line="331" w:lineRule="auto"/>
        <w:ind w:firstLine="4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高级供应商认定：权威机构所发布的行业供应商排名前十的企业或国</w:t>
      </w:r>
      <w:r>
        <w:rPr>
          <w:rFonts w:hint="eastAsia"/>
          <w:lang w:val="en-US" w:eastAsia="zh-CN"/>
        </w:rPr>
        <w:t>内</w:t>
      </w:r>
      <w:r>
        <w:rPr>
          <w:rFonts w:hint="eastAsia"/>
          <w:lang w:eastAsia="zh-CN"/>
        </w:rPr>
        <w:t>500强企业；</w:t>
      </w:r>
    </w:p>
    <w:p>
      <w:pPr>
        <w:pStyle w:val="6"/>
        <w:numPr>
          <w:ilvl w:val="0"/>
          <w:numId w:val="1"/>
        </w:numPr>
        <w:spacing w:line="331" w:lineRule="auto"/>
        <w:ind w:firstLine="4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中级供应商认定：获得所在行业行业协会认证的会员单位，成立时间</w:t>
      </w:r>
      <w:r>
        <w:rPr>
          <w:rFonts w:hint="eastAsia"/>
          <w:lang w:val="en-US" w:eastAsia="zh-CN"/>
        </w:rPr>
        <w:t>3年以上，至少与三家知名企业有过合作案例；</w:t>
      </w:r>
    </w:p>
    <w:p>
      <w:pPr>
        <w:pStyle w:val="6"/>
        <w:numPr>
          <w:ilvl w:val="0"/>
          <w:numId w:val="1"/>
        </w:numPr>
        <w:spacing w:line="331" w:lineRule="auto"/>
        <w:ind w:firstLine="4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普通供应商为配合度好，性价比高，响应速度快，有一定策划方案能力，能够满足平台</w:t>
      </w:r>
      <w:r>
        <w:rPr>
          <w:rFonts w:hint="eastAsia"/>
          <w:lang w:val="en-US" w:eastAsia="zh-CN"/>
        </w:rPr>
        <w:t>小</w:t>
      </w:r>
      <w:r>
        <w:rPr>
          <w:rFonts w:hint="eastAsia"/>
          <w:lang w:eastAsia="zh-CN"/>
        </w:rPr>
        <w:t>微企业客户的需求；</w:t>
      </w:r>
    </w:p>
    <w:p>
      <w:pPr>
        <w:pStyle w:val="6"/>
        <w:numPr>
          <w:ilvl w:val="0"/>
          <w:numId w:val="1"/>
        </w:numPr>
        <w:spacing w:line="331" w:lineRule="auto"/>
        <w:ind w:firstLine="4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供应商绿色通道适用范围：客户委托订单非行政联盟主营业务、客户指定</w:t>
      </w:r>
      <w:r>
        <w:rPr>
          <w:rFonts w:hint="eastAsia"/>
        </w:rPr>
        <w:t>、政府部门及事业单位机构、垄断行业、销售渠道合作方</w:t>
      </w:r>
      <w:r>
        <w:rPr>
          <w:rFonts w:hint="eastAsia"/>
          <w:lang w:eastAsia="zh-CN"/>
        </w:rPr>
        <w:t>等；</w:t>
      </w:r>
    </w:p>
    <w:p>
      <w:pPr>
        <w:pStyle w:val="5"/>
        <w:spacing w:line="30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五、供应商资质审核标准</w:t>
      </w:r>
    </w:p>
    <w:p>
      <w:pPr>
        <w:pStyle w:val="6"/>
        <w:numPr>
          <w:ilvl w:val="0"/>
          <w:numId w:val="0"/>
        </w:numPr>
        <w:spacing w:line="331" w:lineRule="auto"/>
        <w:ind w:firstLine="440"/>
        <w:rPr>
          <w:rFonts w:hint="eastAsia"/>
        </w:rPr>
      </w:pPr>
      <w:r>
        <w:rPr>
          <w:rFonts w:hint="eastAsia"/>
        </w:rPr>
        <w:t>资质审核是通过对供应商的基础信息和资格文件进行审查，以</w:t>
      </w:r>
      <w:r>
        <w:rPr>
          <w:rFonts w:hint="eastAsia"/>
          <w:lang w:eastAsia="zh-CN"/>
        </w:rPr>
        <w:t>确保</w:t>
      </w:r>
      <w:r>
        <w:rPr>
          <w:rFonts w:hint="eastAsia"/>
        </w:rPr>
        <w:t>供应商</w:t>
      </w:r>
      <w:r>
        <w:rPr>
          <w:rFonts w:hint="eastAsia"/>
          <w:lang w:eastAsia="zh-CN"/>
        </w:rPr>
        <w:t>能够</w:t>
      </w:r>
      <w:r>
        <w:rPr>
          <w:rFonts w:hint="eastAsia"/>
        </w:rPr>
        <w:t>满足</w:t>
      </w:r>
      <w:r>
        <w:rPr>
          <w:rFonts w:hint="eastAsia"/>
          <w:lang w:eastAsia="zh-CN"/>
        </w:rPr>
        <w:t>平台客户</w:t>
      </w:r>
      <w:r>
        <w:rPr>
          <w:rFonts w:hint="eastAsia"/>
        </w:rPr>
        <w:t>要求。</w:t>
      </w:r>
    </w:p>
    <w:p>
      <w:pPr>
        <w:pStyle w:val="6"/>
        <w:numPr>
          <w:ilvl w:val="0"/>
          <w:numId w:val="0"/>
        </w:numPr>
        <w:spacing w:line="331" w:lineRule="auto"/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1、资质评估</w:t>
      </w:r>
    </w:p>
    <w:p>
      <w:pPr>
        <w:pStyle w:val="6"/>
        <w:numPr>
          <w:ilvl w:val="0"/>
          <w:numId w:val="2"/>
        </w:numPr>
        <w:spacing w:line="331" w:lineRule="auto"/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营业执照、股权关系</w:t>
      </w:r>
    </w:p>
    <w:p>
      <w:pPr>
        <w:pStyle w:val="6"/>
        <w:numPr>
          <w:ilvl w:val="0"/>
          <w:numId w:val="2"/>
        </w:numPr>
        <w:spacing w:line="331" w:lineRule="auto"/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和所属品类相关的国家机构、权威机构、行业协会颁发的“高、中、初级”资质证书、许可证、授权等</w:t>
      </w:r>
    </w:p>
    <w:p>
      <w:pPr>
        <w:pStyle w:val="6"/>
        <w:numPr>
          <w:ilvl w:val="0"/>
          <w:numId w:val="2"/>
        </w:numPr>
        <w:spacing w:line="331" w:lineRule="auto"/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销售品牌产品的品牌授权书</w:t>
      </w:r>
    </w:p>
    <w:p>
      <w:pPr>
        <w:pStyle w:val="6"/>
        <w:numPr>
          <w:ilvl w:val="0"/>
          <w:numId w:val="2"/>
        </w:numPr>
        <w:spacing w:line="331" w:lineRule="auto"/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知名企业客户颁发的奖牌、奖杯、表彰证明等</w:t>
      </w:r>
    </w:p>
    <w:p>
      <w:pPr>
        <w:pStyle w:val="6"/>
        <w:numPr>
          <w:ilvl w:val="0"/>
          <w:numId w:val="0"/>
        </w:numPr>
        <w:spacing w:line="331" w:lineRule="auto"/>
        <w:ind w:left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2、综合实力评估</w:t>
      </w:r>
    </w:p>
    <w:p>
      <w:pPr>
        <w:pStyle w:val="6"/>
        <w:numPr>
          <w:ilvl w:val="0"/>
          <w:numId w:val="2"/>
        </w:numPr>
        <w:spacing w:line="331" w:lineRule="auto"/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实缴注册资本及近两年企业营收证明</w:t>
      </w:r>
    </w:p>
    <w:p>
      <w:pPr>
        <w:pStyle w:val="6"/>
        <w:numPr>
          <w:ilvl w:val="0"/>
          <w:numId w:val="2"/>
        </w:numPr>
        <w:spacing w:line="331" w:lineRule="auto"/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过往合作知名客户名单及合同</w:t>
      </w:r>
    </w:p>
    <w:p>
      <w:pPr>
        <w:pStyle w:val="6"/>
        <w:numPr>
          <w:ilvl w:val="0"/>
          <w:numId w:val="2"/>
        </w:numPr>
        <w:spacing w:line="331" w:lineRule="auto"/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企业员工配置明细</w:t>
      </w:r>
    </w:p>
    <w:p>
      <w:pPr>
        <w:pStyle w:val="6"/>
        <w:numPr>
          <w:ilvl w:val="0"/>
          <w:numId w:val="2"/>
        </w:numPr>
        <w:spacing w:line="331" w:lineRule="auto"/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企业行政办公、生产、仓储场地规模</w:t>
      </w:r>
    </w:p>
    <w:p>
      <w:pPr>
        <w:pStyle w:val="6"/>
        <w:numPr>
          <w:ilvl w:val="0"/>
          <w:numId w:val="2"/>
        </w:numPr>
        <w:spacing w:line="331" w:lineRule="auto"/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仓储、运输能力</w:t>
      </w:r>
    </w:p>
    <w:p>
      <w:pPr>
        <w:pStyle w:val="6"/>
        <w:numPr>
          <w:ilvl w:val="0"/>
          <w:numId w:val="0"/>
        </w:numPr>
        <w:spacing w:line="331" w:lineRule="auto"/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3、风控审核</w:t>
      </w:r>
    </w:p>
    <w:p>
      <w:pPr>
        <w:pStyle w:val="6"/>
        <w:numPr>
          <w:ilvl w:val="0"/>
          <w:numId w:val="2"/>
        </w:numPr>
        <w:spacing w:line="331" w:lineRule="auto"/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企业两年内的法律诉讼记录</w:t>
      </w:r>
    </w:p>
    <w:p>
      <w:pPr>
        <w:pStyle w:val="6"/>
        <w:numPr>
          <w:ilvl w:val="0"/>
          <w:numId w:val="2"/>
        </w:numPr>
        <w:spacing w:line="331" w:lineRule="auto"/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企业上一年度工商异常记录</w:t>
      </w:r>
    </w:p>
    <w:p>
      <w:pPr>
        <w:pStyle w:val="6"/>
        <w:numPr>
          <w:ilvl w:val="0"/>
          <w:numId w:val="2"/>
        </w:numPr>
        <w:spacing w:line="331" w:lineRule="auto"/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企业上一年度财务异常记录</w:t>
      </w:r>
    </w:p>
    <w:p>
      <w:pPr>
        <w:pStyle w:val="6"/>
        <w:numPr>
          <w:ilvl w:val="0"/>
          <w:numId w:val="0"/>
        </w:numPr>
        <w:spacing w:line="331" w:lineRule="auto"/>
        <w:ind w:leftChars="2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4、合作意愿（积极性）评估</w:t>
      </w:r>
    </w:p>
    <w:p>
      <w:pPr>
        <w:pStyle w:val="6"/>
        <w:numPr>
          <w:ilvl w:val="0"/>
          <w:numId w:val="0"/>
        </w:numPr>
        <w:spacing w:line="331" w:lineRule="auto"/>
        <w:rPr>
          <w:rFonts w:hint="eastAsia"/>
          <w:lang w:val="en-US" w:eastAsia="zh-CN"/>
        </w:rPr>
      </w:pPr>
    </w:p>
    <w:p>
      <w:pPr>
        <w:pStyle w:val="5"/>
        <w:spacing w:line="30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六、佣金政策</w:t>
      </w:r>
    </w:p>
    <w:p>
      <w:pPr>
        <w:pStyle w:val="6"/>
        <w:spacing w:line="331" w:lineRule="auto"/>
        <w:ind w:firstLine="4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政联盟参考各品类的社会一般收益，从每笔交易订单中收取不低于订单总金额10%的佣金，佣金需在订单完成后至多10个工作日内支付。同一客户服务超过一年的，佣金逐年递减，递减幅度不超过原佣金比例的20%。（例如：A供应商服务B客户，第一服务年订单佣金比例为10%，第二服务年佣金比例组多可降至8%，以此类推）</w:t>
      </w:r>
    </w:p>
    <w:p>
      <w:pPr>
        <w:pStyle w:val="5"/>
        <w:spacing w:line="30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七、供应商考核淘汰机制</w:t>
      </w:r>
    </w:p>
    <w:p>
      <w:pPr>
        <w:pStyle w:val="6"/>
        <w:spacing w:line="331" w:lineRule="auto"/>
        <w:ind w:firstLine="4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行政联盟从合作、客户评价等方面对供应商进行综合评定，评定结果将直接影响订单分配数量，评分最高及最低的供应商也会有相应奖惩。</w:t>
      </w:r>
    </w:p>
    <w:p>
      <w:pPr>
        <w:pStyle w:val="6"/>
        <w:numPr>
          <w:ilvl w:val="0"/>
          <w:numId w:val="3"/>
        </w:numPr>
        <w:spacing w:line="331" w:lineRule="auto"/>
        <w:ind w:firstLine="4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单品类考核得分连续两次第一的供应商，行政联盟将给与额外订单奖励并升级为金牌供应商，享有平台奖章称号；</w:t>
      </w:r>
    </w:p>
    <w:p>
      <w:pPr>
        <w:pStyle w:val="6"/>
        <w:numPr>
          <w:ilvl w:val="0"/>
          <w:numId w:val="3"/>
        </w:numPr>
        <w:spacing w:line="331" w:lineRule="auto"/>
        <w:ind w:firstLine="4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品类考核得分末尾的供应商将被纳入待考核供应商库，在为期一个月的待考核期内，相关考核评分依然无法提高的，将被淘汰出行政联盟（合作期内，供应商受到客户重大投诉的，事实清楚的，无论考核评分高低，都将被淘汰出行政联盟）；</w:t>
      </w:r>
    </w:p>
    <w:p>
      <w:pPr>
        <w:pStyle w:val="6"/>
        <w:numPr>
          <w:ilvl w:val="0"/>
          <w:numId w:val="3"/>
        </w:numPr>
        <w:spacing w:line="331" w:lineRule="auto"/>
        <w:ind w:firstLine="4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供应商考核每3个月进行一次评审，每期评审将淘汰不合格供应商，引入新供应商，供应商整体数量保持不变；</w:t>
      </w:r>
    </w:p>
    <w:p>
      <w:pPr>
        <w:pStyle w:val="6"/>
        <w:spacing w:line="331" w:lineRule="auto"/>
        <w:ind w:firstLine="440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6"/>
        <w:spacing w:line="331" w:lineRule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6534E3"/>
    <w:multiLevelType w:val="singleLevel"/>
    <w:tmpl w:val="A16534E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E0AD8C4"/>
    <w:multiLevelType w:val="singleLevel"/>
    <w:tmpl w:val="CE0AD8C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22398C3A"/>
    <w:multiLevelType w:val="singleLevel"/>
    <w:tmpl w:val="22398C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156C3"/>
    <w:rsid w:val="0142099D"/>
    <w:rsid w:val="01BF0A6A"/>
    <w:rsid w:val="032042F0"/>
    <w:rsid w:val="054A7FAC"/>
    <w:rsid w:val="07D307C7"/>
    <w:rsid w:val="082534A8"/>
    <w:rsid w:val="0971111A"/>
    <w:rsid w:val="099501A3"/>
    <w:rsid w:val="0A7F5A4C"/>
    <w:rsid w:val="0C73725F"/>
    <w:rsid w:val="0D92663B"/>
    <w:rsid w:val="0F68548E"/>
    <w:rsid w:val="127B6369"/>
    <w:rsid w:val="136F1D49"/>
    <w:rsid w:val="14726DB6"/>
    <w:rsid w:val="16370DA4"/>
    <w:rsid w:val="1AD256B1"/>
    <w:rsid w:val="1AFE204A"/>
    <w:rsid w:val="1B6F2F4E"/>
    <w:rsid w:val="1BEB2E12"/>
    <w:rsid w:val="1D0F2C9C"/>
    <w:rsid w:val="21C13F80"/>
    <w:rsid w:val="23572C66"/>
    <w:rsid w:val="23C668A2"/>
    <w:rsid w:val="24184626"/>
    <w:rsid w:val="249B2A92"/>
    <w:rsid w:val="256E13AA"/>
    <w:rsid w:val="27752085"/>
    <w:rsid w:val="2B8B5D76"/>
    <w:rsid w:val="336F4E1B"/>
    <w:rsid w:val="3560779E"/>
    <w:rsid w:val="397B76E8"/>
    <w:rsid w:val="39A140E2"/>
    <w:rsid w:val="3FE62B56"/>
    <w:rsid w:val="405D6B98"/>
    <w:rsid w:val="40D81037"/>
    <w:rsid w:val="42F96BA0"/>
    <w:rsid w:val="437D33E7"/>
    <w:rsid w:val="44660193"/>
    <w:rsid w:val="455A640C"/>
    <w:rsid w:val="45F861F4"/>
    <w:rsid w:val="476C2C77"/>
    <w:rsid w:val="502047D8"/>
    <w:rsid w:val="50326B65"/>
    <w:rsid w:val="52CC0953"/>
    <w:rsid w:val="5AF74B0A"/>
    <w:rsid w:val="5BBF2275"/>
    <w:rsid w:val="5CE962E5"/>
    <w:rsid w:val="5EEA7987"/>
    <w:rsid w:val="60FE2E7C"/>
    <w:rsid w:val="62E1550B"/>
    <w:rsid w:val="64D93281"/>
    <w:rsid w:val="6B63408F"/>
    <w:rsid w:val="6B726EAF"/>
    <w:rsid w:val="6D6E7DE6"/>
    <w:rsid w:val="6D702A25"/>
    <w:rsid w:val="72417C94"/>
    <w:rsid w:val="73F84545"/>
    <w:rsid w:val="765C73EB"/>
    <w:rsid w:val="78601688"/>
    <w:rsid w:val="7A8D1BDE"/>
    <w:rsid w:val="7AD275B4"/>
    <w:rsid w:val="7CA92742"/>
    <w:rsid w:val="7C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EXT_HEAD"/>
    <w:basedOn w:val="1"/>
    <w:qFormat/>
    <w:uiPriority w:val="99"/>
    <w:pPr>
      <w:spacing w:before="453" w:after="113" w:line="412" w:lineRule="auto"/>
    </w:pPr>
    <w:rPr>
      <w:rFonts w:ascii="黑体" w:hAnsi="Calibri" w:eastAsia="黑体" w:cs="黑体"/>
      <w:color w:val="000000"/>
      <w:sz w:val="22"/>
      <w:szCs w:val="22"/>
    </w:rPr>
  </w:style>
  <w:style w:type="paragraph" w:customStyle="1" w:styleId="6">
    <w:name w:val="TEXT"/>
    <w:basedOn w:val="1"/>
    <w:qFormat/>
    <w:uiPriority w:val="99"/>
    <w:pPr>
      <w:spacing w:line="455" w:lineRule="auto"/>
    </w:pPr>
    <w:rPr>
      <w:rFonts w:ascii="宋体" w:hAnsi="Calibri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2019-10-15T07:23:00Z</dcterms:created>
  <dc:creator>Administrator</dc:creator>
  <cp:lastModifiedBy>行政联盟-杨若冰</cp:lastModifiedBy>
  <dcterms:modified xsi:type="dcterms:W3CDTF">2020-04-09T08:21:08Z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